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500. “新年Flag，仪式感与行动力”——年度规划、新年仪式消费意愿与计划执行行为研究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研究对象：做年度计划/立Flag（手账/App打卡/习惯养成）的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核心问题/变量：计划方式（手账/App）、Flag类型（学习/健身/存钱）、执行率、打卡社群、仪式感消费、复盘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H1：计划方式（手账/App）、Flag类型（学习/健身/存钱）显著影响复盘（待验证）；H2：不同人群（年龄/收入/城市等级）在上述关系中存在调节作用（待验证）。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🔶"新年Flag"社交媒体现象；✅手账消费（413题衔接）；✅"悦己与成长消费"（情绪经济已核验）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线上问卷+手账社群；收官收官题，呼应"全程指导"定位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🔶"新年Flag"社交媒体现象；✅手账消费（413题衔接）；✅"悦己与成长消费"（情绪经济已核验）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