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593. “暑期托管，谁来带娃”——职工子女暑期托管的需求偏好与费用接受度研究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研究对象：双职工家庭家长、提供托管的企业/社区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核心问题/变量：暑期托管需求强度、托管内容偏好（作业/兴趣/照护）、费用接受度、单位托管vs市场化、安全信任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暑期托管需求强度、托管内容偏好（作业/兴趣/照护）（安全信任）之间存在可检验的关系，且受群体差异（年龄/收入/地区/身份）调节（待验证）；H2：暑期托管需求强度、托管内容偏好（作业/兴趣/照护）是影响安全信任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✅职工子女托管服务政策（全国总工会）；🔶暑期托管发展数据（须下载核验）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工会/社区渠道问卷+托管机构访谈；区别于083（0-3托育）聚焦学龄暑期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✅职工子女托管服务政策（全国总工会）；🔶暑期托管发展数据（须下载核验）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