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604. “AI 批改作业，教师减负了吗”——教师对AI作业批改的使用意愿与信任研究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研究对象：使用AI批改作业的中小学教师、家长及教研员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核心问题/变量：AI批改使用场景（作文/客观题）、效率提升感知、批改准确率信任、对学生反馈质量影响、隐私与替代担忧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批改使用场景（作文/客观题）、效率提升感知（隐私与替代担忧）之间存在可检验的关系，且受群体差异（年龄/收入/地区/身份）调节（待验证）；H2：AI批改使用场景（作文/客观题）、效率提升感知是影响隐私与替代担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🔶AI批改产品应用报道（教育媒体须下载核验）；✅教育数字化战略行动（教育部）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教师社群问卷+教育科技企业访谈；获奖黑名单核对：近三年无AI批改获奖题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🔶AI批改产品应用报道（教育媒体须下载核验）；✅教育数字化战略行动（教育部）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