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618. “高考志愿规划师，万元咨询值不值”——高考志愿规划咨询消费意愿与满意度调查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研究对象：购买志愿填报咨询/规划服务的高考生家庭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核心问题/变量：咨询服务价格与内容、决策影响、机构资质信任、信息差焦虑、与免费工具对比、满意度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H1：咨询服务价格与内容、决策影响（满意度）之间存在可检验的关系，且受群体差异（年龄/收入/地区/身份）调节（待验证）；H2：咨询服务价格与内容、决策影响是影响满意度的关键因素（待验证）。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🔶高考志愿规划市场报道（媒体须下载核验）；✅高考改革政策（教育部）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高考生家长社群问卷+机构访谈；获奖黑名单核对：近三年无志愿规划获奖题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🔶高考志愿规划市场报道（媒体须下载核验）；✅高考改革政策（教育部）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