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671. “英文分级阅读，刷出来的英语”——家长儿童英语分级阅读消费意愿及影响因素调查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研究对象：为孩子做英语分级阅读（RAZ/牛津树类）的家长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核心问题/变量：分级阅读认知与选择、纸质vs电子（墨水平台）、年投入（图书/课程）、效果感知（词汇/兴趣）、坚持度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分级阅读认知与选择、纸质vs电子（墨水平台）（坚持度）之间存在可检验的关系，且受群体差异（年龄/收入/地区/身份）调节（待验证）；H2：分级阅读认知与选择、纸质vs电子（墨水平台）是影响坚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🔶少儿英语分级阅读市场报告（行业报告须下载核验）；✅英语学习与双减政策（教育部）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家长社群问卷+阅读平台访谈；获奖黑名单核对：近三年无分级阅读获奖题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🔶少儿英语分级阅读市场报告（行业报告须下载核验）；✅英语学习与双减政策（教育部）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