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709. “少儿编程课，报还是不报”——少儿编程培训报课动机与续报意愿研究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研究对象：为孩子报编程课的家长（K12）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核心问题/变量：报课动机（升学/逻辑思维/跟风）、课程价格与课时、scratch/python选择、机构信任（拔苗助长争议）、效果感知、续报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课动机（升学/逻辑思维/跟风）、课程价格与课时（续报）之间存在可检验的关系，且受群体差异（年龄/收入/地区/身份）调节（待验证）；H2：报课动机（升学/逻辑思维/跟风）、课程价格与课时是影响续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🔶少儿编程市场报告（行业报告须下载核验）；✅双减政策与素质教育培训监管（教育部）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家长社群问卷+机构访谈；获奖黑名单核对：近三年无少儿编程获奖题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🔶少儿编程市场报告（行业报告须下载核验）；✅双减政策与素质教育培训监管（教育部）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