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723. “老年电子琴班，老有所乐”——中老年器乐培训参与意愿与获得感研究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研究对象：报名老年大学/机构器乐班（电子琴/葫芦丝/合唱）的老年人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核心问题/变量：器乐培训动机（圆梦/社交/康养）、课时费与教材、集体课社交价值、演出展示机会、续课留存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器乐培训动机（圆梦/社交/康养）、课时费与教材（续课留存）之间存在可检验的关系，且受群体差异（年龄/收入/地区/身份）调节（待验证）；H2：器乐培训动机（圆梦/社交/康养）、课时费与教材是影响续课留存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🔶老年音乐培训报道（媒体须下载核验）；✅老年教育政策（教育部）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老年大学/机构渠道问卷；获奖黑名单核对：近三年无老年器乐获奖题（区别于594老年教育泛题）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🔶老年音乐培训报道（媒体须下载核验）；✅老年教育政策（教育部）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