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787. “青少年体适能课，体育培训火”——中考体育培训报课意愿与训练效果评价研究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研究对象：给孩子报体适能/中考体育培训的家长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核心问题/变量：报课动机（中考提分/体质/兴趣）、课程与教练、价格、中考体育改革影响、训练效果、续报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课动机（中考提分/体质/兴趣）、课程与教练（续报）之间存在可检验的关系，且受群体差异（年龄/收入/地区/身份）调节（待验证）；H2：报课动机（中考提分/体质/兴趣）、课程与教练是影响续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🔶青少年体育培训市场数据（行业报告须下载核验）；✅中考体育改革与双减政策（教育部）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体育机构渠道问卷+教练访谈；获奖黑名单核对：近三年无体适能培训获奖题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🔶青少年体育培训市场数据（行业报告须下载核验）；✅中考体育改革与双减政策（教育部）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