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809. “冷门专业就业，翻身还是翻车”——冷门专业学生择业动机与就业意愿研究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研究对象：就读及毕业于“冷门”专业的在校生与毕业生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核心问题/变量：冷门专业选择动机（兴趣/调剂/分数）、就业方向（考编/转行/深造）、薪资落差、家人态度、专业价值再评价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冷门专业选择动机（兴趣/调剂/分数）、就业方向（考编/转行/深造）（专业价值再评价）之间存在可检验的关系，且受群体差异（年龄/收入/地区/身份）调节（待验证）；H2：冷门专业选择动机（兴趣/调剂/分数）、就业方向（考编/转行/深造）是影响专业价值再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🔶冷门专业就业数据（教育部就业报告须下载核验）；✅本科专业结构调整政策（教育部）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高校渠道问卷+就业中心访谈；获奖黑名单核对：近三年无冷门专业获奖题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🔶冷门专业就业数据（教育部就业报告须下载核验）；✅本科专业结构调整政策（教育部）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