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836. “家长陪写作业，崩溃瞬间”——家长辅导作业（陪读）行为与情绪研究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研究对象：日常辅导孩子作业的小学家长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核心问题/变量：辅导作业时长、情绪崩溃经历、辅导方式（讲题/监督）、对学校减负感知、校外辅导替代、亲子关系影响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辅导作业时长、情绪崩溃经历（亲子关系影响）之间存在可检验的关系，且受群体差异（年龄/收入/地区/身份）调节（待验证）；H2：辅导作业时长、情绪崩溃经历是影响亲子关系影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🔶家庭教育促进法（全国人大）；🔶陪写作业话题数据（社交媒体须下载核验）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家长社群问卷；获奖黑名单核对：近三年无辅导作业获奖题（区别于405鸡娃）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🔶家庭教育促进法（全国人大）；🔶陪写作业话题数据（社交媒体须下载核验）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