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908. “高校食堂上新，卷起来了”——大学生对高校食堂网红菜与新业态的消费偏好及就餐满意度调查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项目类型：社会调查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研究阶段：early-mid（萌芽—成长期：需求与机会挖掘 + 意愿初探）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确定行业：12_教育与培训（选择理由：贴合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研究对象：在校大学生（经历高校食堂改革）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核心问题/变量：食堂菜品创新（网红菜/夜宵）、窗口业态（连锁/档口）、价格与补贴、就餐体验（环境/排队）、外卖进校、满意度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食堂菜品创新（网红菜/夜宵）、窗口业态（连锁/档口）（满意度）之间存在可检验的关系，且受群体差异（年龄/收入/地区/身份）调节（待验证）；H2：食堂菜品创新（网红菜/夜宵）、窗口业态（连锁/档口）是影响满意度的关键因素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🔶高校食堂管理改革政策（教育部）；🔶高校餐饮服务案例（须下载核验）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高校渠道问卷+后勤访谈；获奖黑名单核对：近三年无高校食堂获奖题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🔶高校食堂管理改革政策（教育部）；🔶高校餐饮服务案例（须下载核验）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