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091. “夜校经济，青年充电”——青年夜校参与动机、持续意愿与商圈带动研究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建议地区：上海（可按省/市细化抽样框）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研究对象：参加过或有意向参加青年夜校/市民夜校的 18—40 岁青年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核心问题/变量：参与动机（兴趣/社交/职业技能）、课程偏好、付费意愿、持续参与、夜校带动商圈消费情况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H1：参与动机（兴趣/社交/职业技能）、课程偏好显著影响夜校带动商圈消费情况（待验证）；H2：不同人群（年龄/收入/城市等级）在上述关系中存在调节作用（待验证）。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全国超200城推出青年夜校（群众网）；✅2025年上海951个夜校/2600门课程/覆盖15万人次（上观）；✅上海市民艺术夜校报名1分钟抢光71门课（澎湃）；✅每课普惠定价50—80元、纳入上海2026为民办实事（百度百科）；✅浦东团区委《青年夜校与青春经济转换路径研究》：夜校与商业街区深度融合、学习场景转化为消费场景（上海市政府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夜校点位（党群服务中心/青年中心/文化馆）现场问卷；特色在于"学习场景转消费场景"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全国超200城推出青年夜校（群众网）；✅2025年上海951个夜校/2600门课程/覆盖15万人次（上观）；✅上海市民艺术夜校报名1分钟抢光71门课（澎湃）；✅每课普惠定价50—80元、纳入上海2026为民办实事（百度百科）；✅浦东团区委《青年夜校与青春经济转换路径研究》：夜校与商业街区深度融合、学习场景转化为消费场景（上海市政府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