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924. “课间15分钟，把课间还给孩子”——中小学师生及家长对课间延长的效果感知与支持度调查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研究对象：经历课间延长（15分钟）的中小学师生与家长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核心问题/变量：课间延长政策知晓、学生活动（户外/游戏）、教师看护负担、安全顾虑（追逐打闹）、家长支持度、效果感知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课间延长政策知晓、学生活动（户外/游戏）（效果感知）之间存在可检验的关系，且受群体差异（年龄/收入/地区/身份）调节（待验证）；H2：课间延长政策知晓、学生活动（户外/游戏）是影响效果感知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🔶课间休息时间政策（教育部）；🔶课间15分钟实践报道（须下载核验）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学校渠道问卷+师生访谈；获奖黑名单核对：近三年无课间改革获奖题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🔶课间休息时间政策（教育部）；🔶课间15分钟实践报道（须下载核验）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