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957. “编程进中考，信息素养”——信息科技课程（编程）进中高考家长支持度与实施效果评价研究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研究对象：经历信息科技课程改革（编程纳入）的中学生与家长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核心问题/变量：编程课程内容（图形化/Python）、中高考评价改革感知、校外编程培训联动、学习负担、师资缺口、家长态度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编程课程内容（图形化/Python）、中高考评价改革感知（家长态度）之间存在可检验的关系，且受群体差异（年龄/收入/地区/身份）调节（待验证）；H2：编程课程内容（图形化/Python）、中高考评价改革感知是影响家长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🔶信息科技课程标准（教育部）；🔶编程教育进校报道（须下载核验）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中学渠道问卷+教研员访谈；获奖黑名单核对：近三年无编程进中考获奖题（区别于709少儿编程培训）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🔶信息科技课程标准（教育部）；🔶编程教育进校报道（须下载核验）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