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977. “银龄教师下乡，支教再出发”——银龄支教参与动机与乡村学校需求调查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项目类型：社会调查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研究阶段：early（早期：需求调查与市场机会挖掘）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建议地区：乡村（可按省/市细化抽样框）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确定行业：12_教育与培训（选择理由：贴合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研究对象：参加银龄讲学/退休教师支教计划的退休教师、受援学校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核心问题/变量：银龄支教参与动机（发挥余热）、服务内容（教学/带教）、生活安排与补贴、乡村学校受益、可持续招募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银龄支教参与动机（发挥余热）、服务内容（教学/带教）（可持续招募）之间存在可检验的关系，且受群体差异（年龄/收入/地区/身份）调节（待验证）；H2：银龄支教参与动机（发挥余热）、服务内容（教学/带教）是影响可持续招募的关键因素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🔶银龄讲学计划（教育部）；🔶银龄教师支教报道（须下载核验）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银龄教师问卷+教育局访谈；获奖黑名单核对：近三年无银龄支教获奖题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🔶银龄讲学计划（教育部）；🔶银龄教师支教报道（须下载核验）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