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1019. “反内卷风暴，加班文化退潮”——反内卷倡议下企业员工减负感知与工作满意度调查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研究对象：经历企业反内卷改革（取消大小周、强制按时下班）的职场人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核心问题/变量：反内卷政策（工时/考勤）感知、工作产出与效率变化、收入影响、摸鱼vs实干、再就业选择（避卷）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反内卷政策（工时/考勤）感知、工作产出与效率变化（再就业选择（避卷））之间存在可检验的关系，且受群体差异（年龄/收入/地区/身份）调节（待验证）；H2：反内卷政策（工时/考勤）感知、工作产出与效率变化是影响再就业选择（避卷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🔶反内卷与就业市场报道（央媒须下载核验）；✅劳动工时与加班规定（人社部、最高法）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职场社群问卷+HR访谈；获奖黑名单核对：近三年无反内卷获奖题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🔶反内卷与就业市场报道（央媒须下载核验）；✅劳动工时与加班规定（人社部、最高法）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