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1020. “工作生活平衡，WLB经济学”——青年求职者WLB权重选择与弹性工时需求调查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研究对象：将WLB（工作生活平衡）作为求职硬指标的青年求职者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核心问题/变量：WLB求职权重（vs薪资/晋升）、企业宣传与实况落差、弹性工时落地、离职原因（过劳）、WLB城市选择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WLB求职权重（vs薪资/晋升）、企业宣传与实况落差（WLB城市选择）之间存在可检验的关系，且受群体差异（年龄/收入/地区/身份）调节（待验证）；H2：WLB求职权重（vs薪资/晋升）、企业宣传与实况落差是影响WLB城市选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🔶青年就业择业调查（人社部、媒体须下载核验）；✅促进高质量充分就业政策（中共中央、国务院）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应届/跳槽问卷+雇主访谈；获奖黑名单核对：近三年无WLB获奖题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🔶青年就业择业调查（人社部、媒体须下载核验）；✅促进高质量充分就业政策（中共中央、国务院）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