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1033. “下班断联，工作消息边界”——打工人下班后工作消息断联意愿与回复压力调查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研究对象：下班后仍需处理工作消息（群聊/钉钉/微信）的打工人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核心问题/变量：下班消息频率与时段、回复压力（秒回文化）、隐形加班（未计入工时）、断联权益认知（离线权）、企业边界文化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下班消息频率与时段、回复压力（秒回文化）（企业边界文化）之间存在可检验的关系，且受群体差异（年龄/收入/地区/身份）调节（待验证）；H2：下班消息频率与时段、回复压力（秒回文化）是影响企业边界文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🔶离线休息权讨论与地方试点（人社部门报道须下载核验）；✅劳动法与加班规定（人社部）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职场问卷+劳动监察/HR访谈；获奖黑名单核对：近三年无下班断联获奖题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🔶离线休息权讨论与地方试点（人社部门报道须下载核验）；✅劳动法与加班规定（人社部）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