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1080. “职场情绪假，请一天假缓一缓”——员工情绪假需求调查与制度接受度研究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研究对象：企业试行/员工期望情绪假的打工人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核心问题/变量：情绪假需求（压力/倦怠）、企业制度（年中情绪假/无理由假）、请假日志（不敢请）、心理健康支持、员工幸福感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情绪假需求（压力/倦怠）、企业制度（年中情绪假/无理由假）（员工幸福感）之间存在可检验的关系，且受群体差异（年龄/收入/地区/身份）调节（待验证）；H2：情绪假需求（压力/倦怠）、企业制度（年中情绪假/无理由假）是影响员工幸福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🔶心理健康促进与职业健康政策（卫健委、人社部）；🔶情绪假企业案例（媒体报道须下载核验）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职场问卷+HR访谈；获奖黑名单核对：近三年无情绪假获奖题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🔶心理健康促进与职业健康政策（卫健委、人社部）；🔶情绪假企业案例（媒体报道须下载核验）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