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1179. “副业刚需，下班后第二收入”——年轻人副业参与动机与持续经营意愿调查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研究对象：开展副业（自媒体/摆摊/接单）的上班族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核心问题/变量：副业动机（增收/安全感/兴趣）、副业类型（写作/剪辑/手工/代购）、时间管理（熬夜副业）、收入与投入、主业冲突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副业动机（增收/安全感/兴趣）、副业类型（写作/剪辑/手工/代购）（主业冲突）之间存在可检验的关系，且受群体差异（年龄/收入/地区/身份）调节（待验证）；H2：副业动机（增收/安全感/兴趣）、副业类型（写作/剪辑/手工/代购）是影响主业冲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🔶灵活就业与新就业形态政策（人社部）；🔶副业经济数据（须下载核验）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副业社群问卷+平台数据；获奖黑名单核对：近三年无副业经营获奖题（区别于747摆摊参与、513自由职业，聚焦职场人副业化）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🔶灵活就业与新就业形态政策（人社部）；🔶副业经济数据（须下载核验）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