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1180. “考编不如考证，技能人才蓝领翻身”——技能人才职业认同与技能提升需求调查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研究对象：技术工人/技能人才（电工/焊工/数控）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核心问题/变量：技能人才缺口与薪资（技工荒）、蓝领高薪（高级技师）、职业认同、技能等级证书、职业教育路径、社会地位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技能人才缺口与薪资（技工荒）、蓝领高薪（高级技师）（社会地位）之间存在可检验的关系，且受群体差异（年龄/收入/地区/身份）调节（待验证）；H2：技能人才缺口与薪资（技工荒）、蓝领高薪（高级技师）是影响社会地位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🔶技能人才队伍建设与技工教育政策（人社部、教育部）；🔶技能人才缺口数据（人社部须下载核验）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技工院校/企业问卷+人社部门访谈；获奖黑名单核对：近三年无技能人才获奖题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🔶技能人才队伍建设与技工教育政策（人社部、教育部）；🔶技能人才缺口数据（人社部须下载核验）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