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1181. “00后整顿职场，还是职场整顿00后”——00后职场代际冲突感知与弹性管理接受度调查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确定行业：13_职场与新就业（选择理由：贴合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研究对象：00后职场新人与其管理者/前辈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核心问题/变量：00后职场特征（不加班/直接表达）、代际冲突（管理模式）、00后离职率、企业适应（弹性管理）、双向磨合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00后职场特征（不加班/直接表达）、代际冲突（管理模式）（双向磨合）之间存在可检验的关系，且受群体差异（年龄/收入/地区/身份）调节（待验证）；H2：00后职场特征（不加班/直接表达）、代际冲突（管理模式）是影响双向磨合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🔶青年就业与劳动权益政策（人社部）；🔶00后职场调查（招聘平台报告须下载核验）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00后员工问卷+HR访谈；获奖黑名单核对：近三年无00后职场获奖题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🔶青年就业与劳动权益政策（人社部）；🔶00后职场调查（招聘平台报告须下载核验）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