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1182. “远程医疗保险，灵活就业者保障”——灵活就业者职业伤害保障获得感与参保意愿调查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研究对象：纳入职业伤害保障试点（外卖/网约）的灵活就业者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核心问题/变量：新业态职业伤害保障（试点省份）、工伤认定、参保缴费（平台代缴）、理赔体验、对平台归属感、保障获得感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新业态职业伤害保障（试点省份）、工伤认定（保障获得感）之间存在可检验的关系，且受群体差异（年龄/收入/地区/身份）调节（待验证）；H2：新业态职业伤害保障（试点省份）、工伤认定是影响保障获得感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🔶新就业形态职业伤害保障试点政策（人社部）；🔶试点数据（须下载核验）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骑手/司机问卷+试点省份人社部门访谈；获奖黑名单核对：近三年无职业伤害保障获奖题（区别于1084社保泛题，聚焦工伤专项）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🔶新就业形态职业伤害保障试点政策（人社部）；🔶试点数据（须下载核验）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