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1183. “AI时代白领，人机协作日常”——白领AI工具使用行为与提效感知调查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研究对象：日常使用AI工具（办公/设计/编程）的白领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核心问题/变量：AI工具使用率（ChatGPT/豆包/Coze）、提效感知（写文档/做表）、技能焦虑（被替代）、AI使用规范（企业政策）、人机分工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工具使用率（ChatGPT/豆包/Coze）、提效感知（写文档/做表）（人机分工）之间存在可检验的关系，且受群体差异（年龄/收入/地区/身份）调节（待验证）；H2：AI工具使用率（ChatGPT/豆包/Coze）、提效感知（写文档/做表）是影响人机分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🔶AI赋能与就业结构政策（人社部、网信办）；🔶AI办公工具数据（须下载核验）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白领问卷+企业IT访谈；获奖黑名单核对：近三年无AI职场协作获奖题（区别于211/306 AI智能体，聚焦员工日常体验）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🔶AI赋能与就业结构政策（人社部、网信办）；🔶AI办公工具数据（须下载核验）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