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1184. “职场饭局文化，酒桌社交变了”——职场酒桌参与行为与咖啡局替代意愿调查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研究对象：经历职场饭局/酒局的年轻职场人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核心问题/变量：酒桌文化参与（劝酒/敬酒）、年轻人态度（反感/回避）、违规酒驾风险、商务社交替代（饭局变咖啡局）、企业文化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酒桌文化参与（劝酒/敬酒）、年轻人态度（反感/回避）（企业文化）之间存在可检验的关系，且受群体差异（年龄/收入/地区/身份）调节（待验证）；H2：酒桌文化参与（劝酒/敬酒）、年轻人态度（反感/回避）是影响企业文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🔶企业文化建设与劳动权益（工会、人社部）；🔶职场酒桌文化讨论数据（媒体须下载核验）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职场问卷+管理者访谈；获奖黑名单核对：近三年无职场酒桌文化获奖题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🔶企业文化建设与劳动权益（工会、人社部）；🔶职场酒桌文化讨论数据（媒体须下载核验）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