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1237. “斜杠青年过时了，一人公司兴起”——一人公司模式接受度与AI工具付费意愿调查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研究对象：一人公司/超级个体（AI工具赋能）的自由职业者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核心问题/变量：一人公司模式（AI写文/设计/客服）、超级个体收入、工具月度订阅、时间自由与焦虑、客户获客、传统就业替代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一人公司模式（AI写文/设计/客服）、超级个体收入（传统就业替代）之间存在可检验的关系，且受群体差异（年龄/收入/地区/身份）调节（待验证）；H2：一人公司模式（AI写文/设计/客服）、超级个体收入是影响传统就业替代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🔶个体经济与AI就业政策（人社部、市场监管总局）；🔶超级个体数据（须下载核验）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自由职业社群问卷+平台访谈；获奖黑名单核对：近三年无一人公司获奖题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🔶个体经济与AI就业政策（人社部、市场监管总局）；🔶超级个体数据（须下载核验）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