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1238. “稳定币工资，web3就业”——Web3跨境就业稳定币结算使用意愿与合规风险感知调查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研究对象：赚取加密货币/USDT工资的远程工作者与Web3从业者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核心问题/变量：Web3远程就业（海外发包）、USDT工资结算、稳定币使用、汇率与合规风险、国内外待遇差异、税务认知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Web3远程就业（海外发包）、USDT工资结算（税务认知）之间存在可检验的关系，且受群体差异（年龄/收入/地区/身份）调节（待验证）；H2：Web3远程就业（海外发包）、USDT工资结算是影响税务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🔶虚拟货币交易监管（央行、金融监管总局）；🔶Web3就业数据（行业报告须下载核验）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Web3从业社群问卷+行业平台访谈；获奖黑名单核对：近三年无Web3就业获奖题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🔶虚拟货币交易监管（央行、金融监管总局）；🔶Web3就业数据（行业报告须下载核验）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