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136. “工厂透明，眼见为实”——透明工厂、开放生产线的品牌信任与购买意愿研究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研究对象：关注食品安全/消费品生产的成年消费者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核心问题/变量：透明生产关注度、信任提升、品牌好感、参观意愿、溢价接受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H1：透明生产关注度、信任提升显著影响溢价接受（待验证）；H2：不同人群（年龄/收入/城市等级）在上述关系中存在调节作用（待验证）。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✅"生产即展示"理念（方大达钢案例）；✅工业旅游政策鼓励展示生产流程（七部门通知）；🔶透明工厂营销案例（媒体）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消费品企业开放日活动渠道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✅"生产即展示"理念（方大达钢案例）；✅工业旅游政策鼓励展示生产流程（七部门通知）；🔶透明工厂营销案例（媒体）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