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149. “安静咖啡馆，办公新场景”——咖啡馆办公、自习消费行为与体验满意度研究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研究对象：常在咖啡馆办公/自习的自由职业者、学生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核心问题/变量：使用频次、时段消费、消费金额、座位舒适度、店家包容度感知、满意度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H1：使用频次、时段消费显著影响满意度（待验证）；H2：不同人群（年龄/收入/城市等级）在上述关系中存在调节作用（待验证）。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✅咖啡市场2025年3549亿元、人均28.57杯（第二批已核验）；🔶"咖啡馆办公"中外媒体讨论（需引原文）；✅共享工位降温背景（羊城晚报）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独立咖啡馆/连锁咖啡门店现场问卷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✅咖啡市场2025年3549亿元、人均28.57杯（第二批已核验）；🔶"咖啡馆办公"中外媒体讨论（需引原文）；✅共享工位降温背景（羊城晚报）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