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187. “老专家返聘，企业请回宝”——退休老年人再就业意愿与权益保障认知调查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研究对象：60+退休老人（含已再就业/未就业）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核心问题/变量：再就业意愿、岗位类型偏好（技术/服务/顾问）、收入期望、家庭态度、权益保障认知（工伤/社保）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再就业意愿、岗位类型偏好（技术/服务/顾问）（权益保障认知（工伤/社保））之间存在可检验的关系，且受群体差异（年龄/收入/地区/身份）调节（待验证）；H2：再就业意愿、岗位类型偏好（技术/服务/顾问）是影响权益保障认知（工伤/社保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民政部等19部门《关于支持老年人社会参与推动实现老有所为的指导意见》；✅人社部等五部门《超龄劳动者基本权益保障暂行规定》2026年7月1日施行（首部专门规章）；✅上海28部门2026年3月实施方案；✅60+人口3.2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社区老年活动中心/老年人才市场渠道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民政部等19部门《关于支持老年人社会参与推动实现老有所为的指导意见》；✅人社部等五部门《超龄劳动者基本权益保障暂行规定》2026年7月1日施行（首部专门规章）；✅上海28部门2026年3月实施方案；✅60+人口3.2亿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