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281. “通勤两小时，路上消费什么”——长时通勤族的路上消费行为与通勤幸福感研究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研究对象：通勤时长30分钟以上的城市上班族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核心问题/变量：通勤时长、通勤方式、路上消费（咖啡/早餐/耳机/打车）、通勤幸福感、消费结构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H1：通勤时长、通勤方式显著影响消费结构（待验证）；H2：不同人群（年龄/收入/城市等级）在上述关系中存在调节作用（待验证）。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🔶通勤经济（城市通勤报告媒体数据需核验）；✅咖啡市场2025年3549亿元（已核验）；✅即时零售1万亿（第三批已核验）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地铁站/写字楼周边现场+线上问卷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🔶通勤经济（城市通勤报告媒体数据需核验）；✅咖啡市场2025年3549亿元（已核验）；✅即时零售1万亿（第三批已核验）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