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307. “AI 律师、会计，专业服务数字化”——AI专业服务的准确性信任与责任归属认知调查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研究对象：小微企业主、自由职业者、学生（用过AI写合同/记账/翻译）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核心问题/变量：使用场景、效率提升、专业准确性信任、责任归属认知（出错算谁的）、替代担忧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H1：使用场景、效率提升（替代担忧）之间存在可检验的关系，且受群体差异（年龄/收入/地区/身份）调节（待验证）；H2：使用场景、效率提升是影响替代担忧的关键因素（待验证）。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🔶AI专业服务应用（行业报告需核验）；✅AI渗透重点行业超80%（国家发改委，第九轮证据）；✅生成式AI用户5.15亿（CNNIC）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创业者社群/办公室人群渠道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🔶AI专业服务应用（行业报告需核验）；✅AI渗透重点行业超80%（国家发改委，第九轮证据）；✅生成式AI用户5.15亿（CNNIC）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