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336. “骑手有了'工伤保险'”——新就业形态从业者职业伤害保障认知与理赔体验研究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研究对象：外卖骑手/网约车司机/同城货运司机（新就业形态从业者）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核心问题/变量：职伤保障知晓（2026新政）、参保情况、理赔体验、平台缴费感知、保障满意度、建议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H1：职伤保障知晓（2026新政）、参保情况（建议）之间存在可检验的关系，且受群体差异（年龄/收入/地区/身份）调节（待验证）；H2：职伤保障知晓（2026新政）、参保情况是影响建议的关键因素（待验证）。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✅2026年7月1日起新就业形态人员职业伤害保障试点全国31省+兵团全面推开（三大高风险行业）；✅截至2026年6月底累计参保2990.2万人；✅费用平台按单代缴（网约车0.01元/单、外卖0.07元、货运0.18元）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骑手驿站/司机社群渠道；一体化关怀型选题、评委好感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✅2026年7月1日起新就业形态人员职业伤害保障试点全国31省+兵团全面推开（三大高风险行业）；✅截至2026年6月底累计参保2990.2万人；✅费用平台按单代缴（网约车0.01元/单、外卖0.07元、货运0.18元）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