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337. “灵活就业，社保怎么缴”——灵活就业人员职工社保参保意愿与障碍研究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研究对象：无固定单位缴纳社保的灵活就业者（个体户/自由职业/平台从业）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核心问题/变量：当前参保状态、缴费能力、户籍限制放开知晓、缴费基数选择、参保意愿与障碍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H1：当前参保状态、缴费能力（参保意愿与障碍）之间存在可检验的关系，且受群体差异（年龄/收入/地区/身份）调节（待验证）；H2：当前参保状态、缴费能力是影响参保意愿与障碍的关键因素（待验证）。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政府工作报告提出出台支持灵活就业人员参加职工保险的政策、多地放开就业地参保户籍限制；✅全国灵活就业人员超2亿、占就业人员近三成；✅职工养老保险实际参保率仅约29.5%、一线城市月缴超1500元（痛点）；广西柳州"动态梯度缴费"试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零工市场/社区就业站点渠道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政府工作报告提出出台支持灵活就业人员参加职工保险的政策、多地放开就业地参保户籍限制；✅全国灵活就业人员超2亿、占就业人员近三成；✅职工养老保险实际参保率仅约29.5%、一线城市月缴超1500元（痛点）；广西柳州"动态梯度缴费"试点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