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338. “跑外卖还是开网约车”——新就业形态从业者职业选择动机与收入满意度研究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建议地区：深圳（可按省/市细化抽样框）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研究对象：外卖骑手、网约车司机（含兼职/全职）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核心问题/变量：入行动机、全职vs兼职、日均单量与收入、竞争感知（饱和预警）、职业规划、幸福度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H1：入行动机、全职vs兼职（幸福度）之间存在可检验的关系，且受群体差异（年龄/收入/地区/身份）调节（待验证）；H2：入行动机、全职vs兼职是影响幸福度的关键因素（待验证）。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✅外卖和网约车从业者超5300万（两年涨约1000万）；✅部分城市已现饱和迹象（深圳预警、单车日均单量下滑）；✅货拉拉2026"全民就业季"363个城市提供70万个灵活就业机会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骑手/司机社群、配送站点渠道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✅外卖和网约车从业者超5300万（两年涨约1000万）；✅部分城市已现饱和迹象（深圳预警、单车日均单量下滑）；✅货拉拉2026"全民就业季"363个城市提供70万个灵活就业机会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