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339. “斜杠青年，副业进行时”——青年副业参与行为与持续意愿研究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研究对象：有副业（自媒体/摆摊/兼职/技能接单）的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核心问题/变量：副业类型、动机（增收/兴趣/焦虑）、时间投入、月收入、影响主业风险、倦怠与持续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副业类型、动机（增收/兴趣/焦虑）（倦怠与持续）之间存在可检验的关系，且受群体差异（年龄/收入/地区/身份）调节（待验证）；H2：副业类型、动机（增收/兴趣/焦虑）是影响倦怠与持续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🔶副业经济（媒体"副业热"报道）；✅灵活就业超2亿背景；✅AI绘画副业60%月入&lt;800元（第十批证据，副业内卷实证）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线上问卷+校园/职场社群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🔶副业经济（媒体"副业热"报道）；✅灵活就业超2亿背景；✅AI绘画副业60%月入&lt;800元（第十批证据，副业内卷实证）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