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378. “35岁危机，转型去哪”——35岁职场危机感知与职业转型研究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研究对象：30—45岁职场人（尤其互联网/制造）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核心问题/变量：年龄压力感知、瓶颈领域、转型方向（创业/副业/考编/技能）、收入变化、职业安全感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H1：年龄压力感知、瓶颈领域（职业安全感）之间存在可检验的关系，且受群体差异（年龄/收入/地区/身份）调节（待验证）；H2：年龄压力感知、瓶颈领域是影响职业安全感的关键因素（待验证）。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🔶"35岁门槛"讨论（媒体/两会议题）；✅延迟退休政策（2025年起实施背景）；✅灵活就业与终身职业技能培训政策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招聘平台用户+职场社群；共鸣性强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🔶"35岁门槛"讨论（媒体/两会议题）；✅延迟退休政策（2025年起实施背景）；✅灵活就业与终身职业技能培训政策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