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380. “年假去哪，错峰旅行”——带薪年假落实体验与错峰旅行消费意愿研究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研究对象：有带薪年假的职场人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核心问题/变量：年假天数与落实、休假用途（旅行/宅家）、年假旅行预算、错峰出游、与节假日对比、"假难请"痛点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假天数与落实、休假用途（旅行/宅家）（"假难请"痛点）之间存在可检验的关系，且受群体差异（年龄/收入/地区/身份）调节（待验证）；H2：年假天数与落实、休假用途（旅行/宅家）是影响"假难请"痛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🔶带薪休假落实率（人社部/学术数据需核验）；✅鼓励错峰休假、弹性作息政策（国务院《关于进一步促进旅游投资和消费的若干意见》背景）；✅假日经济消费数据（文旅部🔶）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职场人线上问卷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🔶带薪休假落实率（人社部/学术数据需核验）；✅鼓励错峰休假、弹性作息政策（国务院《关于进一步促进旅游投资和消费的若干意见》背景）；✅假日经济消费数据（文旅部🔶）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