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393. “夜市摆摊，青年新创业”——夜市摊主创业动机与持续经营意愿研究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建议地区：合肥（可按省/市细化抽样框）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确定行业：13_职场与新就业（选择理由：贴合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研究对象：夜市/后备箱市集/临时市集的摊主（20—40岁为主）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核心问题/变量：入市动机（创业/副业/体验）、品类选择、摊位成本（租金/物料）、日营业额、客流与竞争、持续意愿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入市动机（创业/副业/体验）、品类选择（持续意愿）之间存在可检验的关系，且受群体差异（年龄/收入/地区/身份）调节（待验证）；H2：入市动机（创业/副业/体验）、品类选择是影响持续意愿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✅120座城市夜间文旅消费热度同比上涨47%（2026暑期）；🔶后备箱集市现象（媒体多次报道需引原文）；✅夜经济政策支持（合肥"徽动消费"夜经济消费季，国际在线）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夜市/市集现场访谈；与96题（市集消费者）区分：聚焦摊主供给侧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✅120座城市夜间文旅消费热度同比上涨47%（2026暑期）；🔶后备箱集市现象（媒体多次报道需引原文）；✅夜经济政策支持（合肥"徽动消费"夜经济消费季，国际在线）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