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503. “全职儿女，新型孝道还是啃老”——青年“全职儿女”选择动机与再就业意愿研究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研究对象：18—30 岁暂居家陪护父母/备考的“全职儿女”青年及其家长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核心问题/变量：选择动机（就业压力/家庭照护/间隔年）、家庭经济支持结构、社会评价感知、自我认同与焦虑、再就业计划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选择动机（就业压力/家庭照护/间隔年）、家庭经济支持结构（再就业计划）之间存在可检验的关系，且受群体差异（年龄/收入/地区/身份）调节（待验证）；H2：选择动机（就业压力/家庭照护/间隔年）、家庭经济支持结构是影响再就业计划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🔶“全职儿女”现象报道与当事人访谈（主流媒体，须下载核验）；✅青年就业政策与数据（人社部）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线上社群（小红书话题）招募+家庭访谈；区别于199（体验官）等新职业题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🔶“全职儿女”现象报道与当事人访谈（主流媒体，须下载核验）；✅青年就业政策与数据（人社部）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