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596. “数字游民，边旅行边工作”——数字游民旅居地的选择偏好与在地消费行为研究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研究对象：远程办公的数字游民（含旅居青年）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核心问题/变量：数字游民动机（自由/成本/体验）、旅居地选择（安吉/大理类）、在地消费结构（住宿/咖啡/办公空间）、社群归属、可持续性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字游民动机（自由/成本/体验）、旅居地选择（安吉/大理类）（可持续性）之间存在可检验的关系，且受群体差异（年龄/收入/地区/身份）调节（待验证）；H2：数字游民动机（自由/成本/体验）、旅居地选择（安吉/大理类）是影响可持续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🔶数字游民基地报道（媒体须下载核验）；✅灵活就业政策（人社部）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数字游民社群问卷+旅居地访谈；区别于019（远程办公）聚焦生活方式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🔶数字游民基地报道（媒体须下载核验）；✅灵活就业政策（人社部）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