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597. “银发再就业，退而不休2.0”——老年人再就业的动机与平台使用意愿研究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研究对象：退休后再就业的老年人、招聘银发员工的企业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核心问题/变量：再就业动机（价值/收入/社交）、银发招聘平台使用、返聘岗位类型、工资期望、社保衔接、权益保障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就业动机（价值/收入/社交）、银发招聘平台使用（权益保障）之间存在可检验的关系，且受群体差异（年龄/收入/地区/身份）调节（待验证）；H2：再就业动机（价值/收入/社交）、银发招聘平台使用是影响权益保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✅银发经济与就业政策（人社部、老龄办）；🔶银发招聘平台数据（须下载核验）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银发就业平台渠道+企业HR访谈；区别于495（银发求职意愿）聚焦平台机制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✅银发经济与就业政策（人社部、老龄办）；🔶银发招聘平台数据（须下载核验）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