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598. “打工人的第二职业，副业刚需”——青年副业的经营动机与投入消费意愿研究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研究对象：经营副业（摆摊/自媒体/接单）的上班族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核心问题/变量：副业动机（增收/兴趣/安全感）、副业类型与投入、副业报班/工具消费、时间精力管理、副业转正意愿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副业动机（增收/兴趣/安全感）、副业类型与投入（副业转正意愿）之间存在可检验的关系，且受群体差异（年龄/收入/地区/身份）调节（待验证）；H2：副业动机（增收/兴趣/安全感）、副业类型与投入是影响副业转正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🔶副业经济话题与数据（媒体、招聘平台须下载核验）；✅灵活就业与新就业形态政策（人社部）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副业社群问卷+平台数据；区别于503（全职儿女）聚焦在职副业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🔶副业经济话题与数据（媒体、招聘平台须下载核验）；✅灵活就业与新就业形态政策（人社部）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