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616. “带薪休假，休得休不得”——带薪年休假落实感知与错峰休假意愿调查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研究对象：在职职工（企业/机关）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核心问题/变量：年假天数与落实率、休假被拖延/折算现象、带薪休假意愿（错峰休假）、审批顾虑、对弹性休假期待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假天数与落实率、休假被拖延/折算现象（对弹性休假期待）之间存在可检验的关系，且受群体差异（年龄/收入/地区/身份）调节（待验证）；H2：年假天数与落实率、休假被拖延/折算现象是影响对弹性休假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✅带薪年休假条例与落实政策（人社部）；🔶职工休假落实情况调查（须下载核验）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职工渠道问卷+企业HR访谈；获奖黑名单核对：近三年无带薪休假获奖题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✅带薪年休假条例与落实政策（人社部）；🔶职工休假落实情况调查（须下载核验）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