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634. “职场妈妈回归，重返岗位”——产后女性重返职场障碍与政策支持需求调查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研究对象：产后重返职场的女性、用人单位HR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核心问题/变量：重返职场障碍（岗位保留/技能断层/歧视）、哺乳假落实、支持政策知晓（生育津贴/弹性）、企业友好度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重返职场障碍（岗位保留/技能断层/歧视）、哺乳假落实（企业友好度）之间存在可检验的关系，且受群体差异（年龄/收入/地区/身份）调节（待验证）；H2：重返职场障碍（岗位保留/技能断层/歧视）、哺乳假落实是影响企业友好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✅女职工劳动保护特别规定（人社部）；🔶女性就业数据（妇联报告须下载核验）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女职工渠道问卷+企业HR访谈；获奖黑名单核对：近三年无职场妈妈回归获奖题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✅女职工劳动保护特别规定（人社部）；🔶女性就业数据（妇联报告须下载核验）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