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654. “日结兼职，灵活用工新常态”——青年日结兼职参与意愿与权益保障需求调查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研究对象：做过日结/小时工兼职（展会/分拣/服务员）的年轻人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核心问题/变量：日结兼职动机（增收/过渡）、平台接单体验、工资结算及时性、工伤保障缺失、与正式工作平衡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日结兼职动机（增收/过渡）、平台接单体验（与正式工作平衡）之间存在可检验的关系，且受群体差异（年龄/收入/地区/身份）调节（待验证）；H2：日结兼职动机（增收/过渡）、平台接单体验是影响与正式工作平衡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✅灵活就业人员权益保障政策（人社部）；🔶灵活用工市场数据（行业报告须下载核验）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兼职平台用户问卷；获奖黑名单核对：近三年无日结兼职获奖题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✅灵活就业人员权益保障政策（人社部）；🔶灵活用工市场数据（行业报告须下载核验）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