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678. “00后整顿职场，真的吗”——00后职场需求与代际管理调整意愿调查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研究对象：00后职场新人及其管理者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核心问题/变量：00后职场特征（拒绝无效加班/直说）、裸辞频次、管理者适应、代际冲突与协作、组织文化调整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00后职场特征（拒绝无效加班/直说）、裸辞频次（组织文化调整）之间存在可检验的关系，且受群体差异（年龄/收入/地区/身份）调节（待验证）；H2：00后职场特征（拒绝无效加班/直说）、裸辞频次是影响组织文化调整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🔶00后职场话题报道（媒体须下载核验）；✅青年就业政策（人社部）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00后员工问卷+HR访谈；获奖黑名单核对：近三年无00后职场获奖题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🔶00后职场话题报道（媒体须下载核验）；✅青年就业政策（人社部）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