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700. “离开大厂去小城，降级生活”——大厂员工逃离一线、降级就业的生活满意度与回流意愿研究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研究对象：从一线大厂转至二线/小城或降级岗位的职场人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核心问题/变量：逃离动机（加班/内卷/房价）、职业路径转换（转行/自由职业）、收入落差与生活满意度、回流意愿、再适应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逃离动机（加班/内卷/房价）、职业路径转换（转行/自由职业）（再适应）之间存在可检验的关系，且受群体差异（年龄/收入/地区/身份）调节（待验证）；H2：逃离动机（加班/内卷/房价）、职业路径转换（转行/自由职业）是影响再适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🔶逃离大厂现象报道（媒体须下载核验）；✅区域人才政策（人社部、地方）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社交媒体社群问卷+个案访谈；获奖黑名单核对：近三年无逃离大厂获奖题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🔶逃离大厂现象报道（媒体须下载核验）；✅区域人才政策（人社部、地方）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