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725. “青年夜校热，下班去上课”——青年夜校（兴趣班）参与与消费研究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研究对象：报名青年夜校（舞蹈/书法/化妆/非遗）的职场青年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核心问题/变量：夜校报名动机（技能/社交/解压）、课程与价格（公益vs市场化）、抢课难度、社交圈拓展、持续参与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夜校报名动机（技能/社交/解压）、课程与价格（公益vs市场化）（持续参与）之间存在可检验的关系，且受群体差异（年龄/收入/地区/身份）调节（待验证）；H2：夜校报名动机（技能/社交/解压）、课程与价格（公益vs市场化）是影响持续参与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🔶青年夜校热潮报道（央媒须下载核验）；✅青年发展型城市政策（共青团中央）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夜校机构/社群问卷；获奖黑名单核对：近三年无青年夜校获奖题（区别于91夜校经济，聚焦参与体验）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🔶青年夜校热潮报道（央媒须下载核验）；✅青年发展型城市政策（共青团中央）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