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747. “夜间经济摆摊，第二收入”——后备箱市集摆摊参与动机与持续经营意愿研究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研究对象：摆摊（夜市/后备箱市集）的年轻人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核心问题/变量：摆摊动机（副业/体验/社交）、摊位费与选品、单晚流水、城管与合规、社群（摆摊搭子）、持续经营意愿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摆摊动机（副业/体验/社交）、摊位费与选品（持续经营意愿）之间存在可检验的关系，且受群体差异（年龄/收入/地区/身份）调节（待验证）；H2：摆摊动机（副业/体验/社交）、摊位费与选品是影响持续经营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🔶夜间经济与摆摊政策（商务部、地方条例）；🔶摆摊经济报道（央媒须下载核验）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市集渠道问卷+摊主访谈；获奖黑名单核对：近三年无摆摊参与获奖题（区别于96后备箱市集消费）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🔶夜间经济与摆摊政策（商务部、地方条例）；🔶摆摊经济报道（央媒须下载核验）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